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79627" w14:textId="77777777" w:rsidR="008766E1" w:rsidRDefault="008766E1">
      <w:pPr>
        <w:pStyle w:val="BodyText"/>
        <w:spacing w:before="11"/>
        <w:rPr>
          <w:sz w:val="39"/>
        </w:rPr>
      </w:pPr>
    </w:p>
    <w:p w14:paraId="55881841" w14:textId="77777777" w:rsidR="008766E1" w:rsidRDefault="00A35A96">
      <w:pPr>
        <w:spacing w:line="249" w:lineRule="auto"/>
        <w:ind w:left="1900"/>
        <w:rPr>
          <w:b/>
          <w:sz w:val="40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6796DC29" wp14:editId="218911A0">
            <wp:simplePos x="0" y="0"/>
            <wp:positionH relativeFrom="page">
              <wp:posOffset>863637</wp:posOffset>
            </wp:positionH>
            <wp:positionV relativeFrom="paragraph">
              <wp:posOffset>-186102</wp:posOffset>
            </wp:positionV>
            <wp:extent cx="1002380" cy="14246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380" cy="142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D2232A"/>
          <w:w w:val="110"/>
          <w:sz w:val="40"/>
        </w:rPr>
        <w:t>Code of Practice for Bonfires on Allotment sites</w:t>
      </w:r>
    </w:p>
    <w:p w14:paraId="5780991A" w14:textId="4A6BEFA8" w:rsidR="008766E1" w:rsidRDefault="008766E1">
      <w:pPr>
        <w:pStyle w:val="BodyText"/>
        <w:rPr>
          <w:sz w:val="20"/>
        </w:rPr>
      </w:pPr>
    </w:p>
    <w:p w14:paraId="29D5E842" w14:textId="77777777" w:rsidR="003C3B34" w:rsidRDefault="003C3B34">
      <w:pPr>
        <w:pStyle w:val="BodyText"/>
        <w:rPr>
          <w:sz w:val="20"/>
        </w:rPr>
      </w:pPr>
    </w:p>
    <w:p w14:paraId="7B7E6B5C" w14:textId="77777777" w:rsidR="008766E1" w:rsidRDefault="008766E1">
      <w:pPr>
        <w:pStyle w:val="BodyText"/>
        <w:rPr>
          <w:sz w:val="20"/>
        </w:rPr>
      </w:pPr>
    </w:p>
    <w:p w14:paraId="3BE99E5C" w14:textId="4F36E29C" w:rsidR="008766E1" w:rsidRDefault="008766E1">
      <w:pPr>
        <w:pStyle w:val="BodyText"/>
        <w:rPr>
          <w:sz w:val="17"/>
        </w:rPr>
      </w:pPr>
    </w:p>
    <w:p w14:paraId="07A068E5" w14:textId="2FE4D416" w:rsidR="002650D4" w:rsidRDefault="002650D4">
      <w:pPr>
        <w:pStyle w:val="BodyText"/>
        <w:rPr>
          <w:sz w:val="17"/>
        </w:rPr>
      </w:pPr>
    </w:p>
    <w:p w14:paraId="78A920FD" w14:textId="77777777" w:rsidR="002650D4" w:rsidRDefault="002650D4">
      <w:pPr>
        <w:pStyle w:val="BodyText"/>
        <w:rPr>
          <w:sz w:val="17"/>
        </w:rPr>
      </w:pPr>
    </w:p>
    <w:p w14:paraId="0C6D05AB" w14:textId="01D2FC1E" w:rsidR="008766E1" w:rsidRDefault="00A35A9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0" w:line="249" w:lineRule="auto"/>
        <w:ind w:right="235"/>
        <w:rPr>
          <w:sz w:val="24"/>
        </w:rPr>
      </w:pPr>
      <w:r>
        <w:rPr>
          <w:color w:val="231F20"/>
          <w:sz w:val="24"/>
        </w:rPr>
        <w:t xml:space="preserve">Bonfires must be supervised and attended at all times either </w:t>
      </w:r>
      <w:r>
        <w:rPr>
          <w:color w:val="231F20"/>
          <w:spacing w:val="-8"/>
          <w:sz w:val="24"/>
        </w:rPr>
        <w:t xml:space="preserve">on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3"/>
          <w:sz w:val="24"/>
        </w:rPr>
        <w:t xml:space="preserve">tenant’s </w:t>
      </w:r>
      <w:r>
        <w:rPr>
          <w:color w:val="231F20"/>
          <w:sz w:val="24"/>
        </w:rPr>
        <w:t>own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plot</w:t>
      </w:r>
      <w:r w:rsidR="003C3B34">
        <w:rPr>
          <w:color w:val="231F20"/>
          <w:sz w:val="24"/>
        </w:rPr>
        <w:t xml:space="preserve"> or plot</w:t>
      </w:r>
      <w:r w:rsidR="00870C06">
        <w:rPr>
          <w:color w:val="231F20"/>
          <w:sz w:val="24"/>
        </w:rPr>
        <w:t xml:space="preserve"> </w:t>
      </w:r>
      <w:bookmarkStart w:id="0" w:name="_GoBack"/>
      <w:bookmarkEnd w:id="0"/>
      <w:r w:rsidR="003C3B34">
        <w:rPr>
          <w:color w:val="231F20"/>
          <w:sz w:val="24"/>
        </w:rPr>
        <w:t>57.</w:t>
      </w:r>
    </w:p>
    <w:p w14:paraId="4D7F2738" w14:textId="77777777" w:rsidR="008766E1" w:rsidRDefault="008766E1">
      <w:pPr>
        <w:pStyle w:val="BodyText"/>
        <w:spacing w:before="2"/>
        <w:rPr>
          <w:sz w:val="25"/>
        </w:rPr>
      </w:pPr>
    </w:p>
    <w:p w14:paraId="6B74B82C" w14:textId="5BF7A7E6" w:rsidR="008766E1" w:rsidRPr="002650D4" w:rsidRDefault="00A35A96" w:rsidP="002650D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9" w:lineRule="auto"/>
        <w:ind w:right="102"/>
        <w:rPr>
          <w:sz w:val="24"/>
        </w:rPr>
      </w:pPr>
      <w:r>
        <w:rPr>
          <w:color w:val="231F20"/>
          <w:sz w:val="24"/>
        </w:rPr>
        <w:t xml:space="preserve">No household rubbish, </w:t>
      </w:r>
      <w:r>
        <w:rPr>
          <w:color w:val="231F20"/>
          <w:spacing w:val="-4"/>
          <w:sz w:val="24"/>
        </w:rPr>
        <w:t xml:space="preserve">rubber, </w:t>
      </w:r>
      <w:r>
        <w:rPr>
          <w:color w:val="231F20"/>
          <w:sz w:val="24"/>
        </w:rPr>
        <w:t>plastic (including bottles &amp; bags), foam,</w:t>
      </w:r>
      <w:r w:rsidR="00D830B6"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tyres</w:t>
      </w:r>
      <w:proofErr w:type="spellEnd"/>
      <w:r>
        <w:rPr>
          <w:color w:val="231F20"/>
          <w:sz w:val="24"/>
        </w:rPr>
        <w:t xml:space="preserve"> or oils shall be burnt on site.</w:t>
      </w:r>
    </w:p>
    <w:p w14:paraId="2C783099" w14:textId="77777777" w:rsidR="008766E1" w:rsidRDefault="008766E1">
      <w:pPr>
        <w:pStyle w:val="BodyText"/>
        <w:spacing w:before="2"/>
        <w:rPr>
          <w:sz w:val="25"/>
        </w:rPr>
      </w:pPr>
    </w:p>
    <w:p w14:paraId="19ED3853" w14:textId="2B52E1A6" w:rsidR="008766E1" w:rsidRDefault="00A35A9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9" w:lineRule="auto"/>
        <w:ind w:right="350"/>
        <w:rPr>
          <w:sz w:val="24"/>
        </w:rPr>
      </w:pPr>
      <w:r>
        <w:rPr>
          <w:color w:val="231F20"/>
          <w:sz w:val="24"/>
        </w:rPr>
        <w:t>Bonfires must not be positioned within four feet of any fencing, hedging,</w:t>
      </w:r>
      <w:r w:rsidR="00D830B6">
        <w:rPr>
          <w:color w:val="231F20"/>
          <w:sz w:val="24"/>
        </w:rPr>
        <w:t xml:space="preserve"> </w:t>
      </w:r>
      <w:r>
        <w:rPr>
          <w:color w:val="231F20"/>
          <w:sz w:val="24"/>
        </w:rPr>
        <w:t xml:space="preserve">shed or </w:t>
      </w:r>
      <w:r>
        <w:rPr>
          <w:color w:val="231F20"/>
          <w:spacing w:val="-4"/>
          <w:sz w:val="24"/>
        </w:rPr>
        <w:t xml:space="preserve">other </w:t>
      </w:r>
      <w:r>
        <w:rPr>
          <w:color w:val="231F20"/>
          <w:sz w:val="24"/>
        </w:rPr>
        <w:t>building or within two feet of a pathway or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pacing w:val="-4"/>
          <w:sz w:val="24"/>
        </w:rPr>
        <w:t>roadway.</w:t>
      </w:r>
    </w:p>
    <w:p w14:paraId="3C967A5B" w14:textId="77777777" w:rsidR="008766E1" w:rsidRDefault="008766E1">
      <w:pPr>
        <w:pStyle w:val="BodyText"/>
        <w:spacing w:before="2"/>
        <w:rPr>
          <w:sz w:val="25"/>
        </w:rPr>
      </w:pPr>
    </w:p>
    <w:p w14:paraId="23FD1ED7" w14:textId="77777777" w:rsidR="00D830B6" w:rsidRPr="00D830B6" w:rsidRDefault="00A35A9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9" w:lineRule="auto"/>
        <w:ind w:left="1540" w:right="163" w:hanging="1440"/>
        <w:rPr>
          <w:sz w:val="24"/>
        </w:rPr>
      </w:pPr>
      <w:r>
        <w:rPr>
          <w:color w:val="231F20"/>
          <w:sz w:val="24"/>
        </w:rPr>
        <w:t xml:space="preserve">Any tenant found to have caused damage with a bonfire shall be liable for the full </w:t>
      </w:r>
    </w:p>
    <w:p w14:paraId="73E0C35B" w14:textId="6F1CBCDE" w:rsidR="008766E1" w:rsidRPr="00D830B6" w:rsidRDefault="00D830B6" w:rsidP="00D830B6">
      <w:pPr>
        <w:tabs>
          <w:tab w:val="left" w:pos="820"/>
          <w:tab w:val="left" w:pos="821"/>
        </w:tabs>
        <w:spacing w:line="249" w:lineRule="auto"/>
        <w:ind w:left="100" w:right="163"/>
        <w:rPr>
          <w:sz w:val="24"/>
        </w:rPr>
      </w:pPr>
      <w:r>
        <w:rPr>
          <w:color w:val="231F20"/>
          <w:spacing w:val="-4"/>
          <w:sz w:val="24"/>
        </w:rPr>
        <w:tab/>
      </w:r>
      <w:r w:rsidR="00A35A96" w:rsidRPr="00D830B6">
        <w:rPr>
          <w:color w:val="231F20"/>
          <w:spacing w:val="-4"/>
          <w:sz w:val="24"/>
        </w:rPr>
        <w:t xml:space="preserve">costs </w:t>
      </w:r>
      <w:r w:rsidR="00A35A96" w:rsidRPr="00D830B6">
        <w:rPr>
          <w:color w:val="231F20"/>
          <w:sz w:val="24"/>
        </w:rPr>
        <w:t>of repair or replacement.</w:t>
      </w:r>
    </w:p>
    <w:p w14:paraId="10B37325" w14:textId="77777777" w:rsidR="008766E1" w:rsidRDefault="008766E1">
      <w:pPr>
        <w:pStyle w:val="BodyText"/>
        <w:spacing w:before="2"/>
        <w:rPr>
          <w:sz w:val="25"/>
        </w:rPr>
      </w:pPr>
    </w:p>
    <w:p w14:paraId="4F551A4C" w14:textId="77777777" w:rsidR="008766E1" w:rsidRDefault="00A35A9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9" w:lineRule="auto"/>
        <w:ind w:right="736"/>
        <w:rPr>
          <w:sz w:val="24"/>
        </w:rPr>
      </w:pPr>
      <w:r>
        <w:rPr>
          <w:color w:val="231F20"/>
          <w:sz w:val="24"/>
        </w:rPr>
        <w:t xml:space="preserve">There are to be no bonfires on Bank or Public Holidays and the site restrictions </w:t>
      </w:r>
      <w:r>
        <w:rPr>
          <w:color w:val="231F20"/>
          <w:spacing w:val="-7"/>
          <w:sz w:val="24"/>
        </w:rPr>
        <w:t xml:space="preserve">on </w:t>
      </w:r>
      <w:r>
        <w:rPr>
          <w:color w:val="231F20"/>
          <w:sz w:val="24"/>
        </w:rPr>
        <w:t>lighting times for bonfires must be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obeyed.</w:t>
      </w:r>
    </w:p>
    <w:p w14:paraId="0EDEB6DF" w14:textId="77777777" w:rsidR="008766E1" w:rsidRDefault="008766E1">
      <w:pPr>
        <w:pStyle w:val="BodyText"/>
        <w:spacing w:before="2"/>
        <w:rPr>
          <w:sz w:val="25"/>
        </w:rPr>
      </w:pPr>
    </w:p>
    <w:p w14:paraId="111A33A6" w14:textId="77777777" w:rsidR="008766E1" w:rsidRDefault="00A35A9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9" w:lineRule="auto"/>
        <w:ind w:right="107"/>
        <w:rPr>
          <w:sz w:val="24"/>
        </w:rPr>
      </w:pPr>
      <w:r w:rsidRPr="002650D4">
        <w:rPr>
          <w:b/>
          <w:color w:val="231F20"/>
          <w:sz w:val="24"/>
        </w:rPr>
        <w:t xml:space="preserve">Only dry material should be burnt </w:t>
      </w:r>
      <w:r>
        <w:rPr>
          <w:color w:val="231F20"/>
          <w:sz w:val="24"/>
        </w:rPr>
        <w:t>and wherever possible composting and /or shredders should be used in preference to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burning.</w:t>
      </w:r>
    </w:p>
    <w:p w14:paraId="353C2858" w14:textId="77777777" w:rsidR="008766E1" w:rsidRDefault="008766E1">
      <w:pPr>
        <w:pStyle w:val="BodyText"/>
        <w:spacing w:before="2"/>
        <w:rPr>
          <w:sz w:val="25"/>
        </w:rPr>
      </w:pPr>
    </w:p>
    <w:p w14:paraId="5FE484EB" w14:textId="77777777" w:rsidR="008766E1" w:rsidRDefault="00A35A9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9" w:lineRule="auto"/>
        <w:ind w:right="505"/>
        <w:rPr>
          <w:sz w:val="24"/>
        </w:rPr>
      </w:pPr>
      <w:r>
        <w:rPr>
          <w:color w:val="231F20"/>
          <w:sz w:val="24"/>
        </w:rPr>
        <w:t xml:space="preserve">“No bonfire shall cause a smoke nuisance to the surrounding residents” as stated </w:t>
      </w:r>
      <w:r>
        <w:rPr>
          <w:color w:val="231F20"/>
          <w:spacing w:val="-8"/>
          <w:sz w:val="24"/>
        </w:rPr>
        <w:t xml:space="preserve">in </w:t>
      </w:r>
      <w:r>
        <w:rPr>
          <w:color w:val="231F20"/>
          <w:sz w:val="24"/>
        </w:rPr>
        <w:t>Section 79(1)(b) of the Environmental Protection Act 1990.</w:t>
      </w:r>
    </w:p>
    <w:p w14:paraId="5CCC1A1D" w14:textId="77777777" w:rsidR="008766E1" w:rsidRDefault="008766E1">
      <w:pPr>
        <w:pStyle w:val="BodyText"/>
        <w:spacing w:before="2"/>
        <w:rPr>
          <w:sz w:val="25"/>
        </w:rPr>
      </w:pPr>
    </w:p>
    <w:p w14:paraId="263DD8D7" w14:textId="5CA6A4BB" w:rsidR="008766E1" w:rsidRPr="003C3B34" w:rsidRDefault="00A35A96" w:rsidP="003C3B3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9" w:lineRule="auto"/>
        <w:ind w:right="266"/>
        <w:rPr>
          <w:sz w:val="24"/>
        </w:rPr>
      </w:pPr>
      <w:r>
        <w:rPr>
          <w:color w:val="231F20"/>
          <w:sz w:val="24"/>
        </w:rPr>
        <w:t xml:space="preserve">Any tenant found to be causing a smoke nuisance by the Environmental Health Department and/or a Committee Member or be in breach of this Code of Practice </w:t>
      </w:r>
      <w:r>
        <w:rPr>
          <w:color w:val="231F20"/>
          <w:spacing w:val="-6"/>
          <w:sz w:val="24"/>
        </w:rPr>
        <w:t xml:space="preserve">may </w:t>
      </w:r>
      <w:r>
        <w:rPr>
          <w:color w:val="231F20"/>
          <w:sz w:val="24"/>
        </w:rPr>
        <w:t>have their allotment tenancy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terminated.</w:t>
      </w:r>
    </w:p>
    <w:p w14:paraId="61B7F665" w14:textId="77777777" w:rsidR="002650D4" w:rsidRDefault="002650D4" w:rsidP="002650D4">
      <w:pPr>
        <w:tabs>
          <w:tab w:val="left" w:pos="820"/>
          <w:tab w:val="left" w:pos="821"/>
        </w:tabs>
        <w:spacing w:line="249" w:lineRule="auto"/>
        <w:ind w:left="100" w:right="266"/>
        <w:rPr>
          <w:sz w:val="24"/>
        </w:rPr>
      </w:pPr>
    </w:p>
    <w:p w14:paraId="3342BCBB" w14:textId="77777777" w:rsidR="002650D4" w:rsidRDefault="002650D4" w:rsidP="002650D4">
      <w:pPr>
        <w:tabs>
          <w:tab w:val="left" w:pos="820"/>
          <w:tab w:val="left" w:pos="821"/>
        </w:tabs>
        <w:spacing w:line="249" w:lineRule="auto"/>
        <w:ind w:left="100" w:right="266"/>
        <w:rPr>
          <w:b/>
          <w:sz w:val="24"/>
        </w:rPr>
      </w:pPr>
    </w:p>
    <w:p w14:paraId="0A6A29B4" w14:textId="5A053B22" w:rsidR="00532D89" w:rsidRDefault="00532D89" w:rsidP="002650D4">
      <w:pPr>
        <w:tabs>
          <w:tab w:val="left" w:pos="820"/>
          <w:tab w:val="left" w:pos="821"/>
        </w:tabs>
        <w:spacing w:line="249" w:lineRule="auto"/>
        <w:ind w:left="100" w:right="266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IF YOUR PLOT IS NEAR A BOUNDARY OR NEIGHBOURING HOUSES, PLEASE USE THE CENTRAL PLOT 57 FOR BURNING,</w:t>
      </w:r>
    </w:p>
    <w:p w14:paraId="70E128C4" w14:textId="77777777" w:rsidR="00532D89" w:rsidRDefault="00532D89" w:rsidP="002650D4">
      <w:pPr>
        <w:tabs>
          <w:tab w:val="left" w:pos="820"/>
          <w:tab w:val="left" w:pos="821"/>
        </w:tabs>
        <w:spacing w:line="249" w:lineRule="auto"/>
        <w:ind w:left="100" w:right="266"/>
        <w:rPr>
          <w:b/>
          <w:sz w:val="32"/>
          <w:szCs w:val="32"/>
        </w:rPr>
      </w:pPr>
    </w:p>
    <w:p w14:paraId="15BA76D9" w14:textId="38D8D145" w:rsidR="00532D89" w:rsidRPr="00532D89" w:rsidRDefault="00532D89" w:rsidP="002650D4">
      <w:pPr>
        <w:tabs>
          <w:tab w:val="left" w:pos="820"/>
          <w:tab w:val="left" w:pos="821"/>
        </w:tabs>
        <w:spacing w:line="249" w:lineRule="auto"/>
        <w:ind w:left="100" w:right="266"/>
        <w:rPr>
          <w:b/>
          <w:sz w:val="40"/>
          <w:szCs w:val="40"/>
        </w:rPr>
      </w:pPr>
      <w:r w:rsidRPr="00532D89">
        <w:rPr>
          <w:b/>
          <w:sz w:val="40"/>
          <w:szCs w:val="40"/>
        </w:rPr>
        <w:t>HOWEVER:</w:t>
      </w:r>
    </w:p>
    <w:p w14:paraId="02261329" w14:textId="77777777" w:rsidR="00532D89" w:rsidRDefault="00532D89" w:rsidP="002650D4">
      <w:pPr>
        <w:tabs>
          <w:tab w:val="left" w:pos="820"/>
          <w:tab w:val="left" w:pos="821"/>
        </w:tabs>
        <w:spacing w:line="249" w:lineRule="auto"/>
        <w:ind w:left="100" w:right="266"/>
        <w:rPr>
          <w:b/>
          <w:sz w:val="32"/>
          <w:szCs w:val="32"/>
          <w:highlight w:val="yellow"/>
        </w:rPr>
      </w:pPr>
    </w:p>
    <w:p w14:paraId="3FE916D8" w14:textId="25CE9B3C" w:rsidR="002650D4" w:rsidRDefault="002650D4" w:rsidP="002650D4">
      <w:pPr>
        <w:tabs>
          <w:tab w:val="left" w:pos="820"/>
          <w:tab w:val="left" w:pos="821"/>
        </w:tabs>
        <w:spacing w:line="249" w:lineRule="auto"/>
        <w:ind w:left="100" w:right="266"/>
        <w:rPr>
          <w:b/>
          <w:sz w:val="32"/>
          <w:szCs w:val="32"/>
          <w:highlight w:val="yellow"/>
        </w:rPr>
      </w:pPr>
      <w:r w:rsidRPr="002650D4">
        <w:rPr>
          <w:b/>
          <w:sz w:val="32"/>
          <w:szCs w:val="32"/>
          <w:highlight w:val="yellow"/>
        </w:rPr>
        <w:t>DO NOT TAKE ANY MATERIAL TO PLOT 57 UNLESS YOU WILL BE BURNING IT ON THE SAME DAY. ALLOTEES MAY BURN ONLY DRY, ORGANIC PLANT MATERIA</w:t>
      </w:r>
      <w:r>
        <w:rPr>
          <w:b/>
          <w:sz w:val="32"/>
          <w:szCs w:val="32"/>
          <w:highlight w:val="yellow"/>
        </w:rPr>
        <w:t>L PER OXFORD CITY</w:t>
      </w:r>
    </w:p>
    <w:p w14:paraId="00726150" w14:textId="669A5D0C" w:rsidR="002650D4" w:rsidRPr="002650D4" w:rsidRDefault="002650D4" w:rsidP="002650D4">
      <w:pPr>
        <w:tabs>
          <w:tab w:val="left" w:pos="820"/>
          <w:tab w:val="left" w:pos="821"/>
        </w:tabs>
        <w:spacing w:line="249" w:lineRule="auto"/>
        <w:ind w:left="100" w:right="266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COUNCIL REGULATIONS</w:t>
      </w:r>
      <w:r w:rsidR="00532D89">
        <w:rPr>
          <w:b/>
          <w:sz w:val="32"/>
          <w:szCs w:val="32"/>
          <w:highlight w:val="yellow"/>
        </w:rPr>
        <w:t>.</w:t>
      </w:r>
      <w:r w:rsidRPr="002650D4">
        <w:rPr>
          <w:b/>
          <w:sz w:val="32"/>
          <w:szCs w:val="32"/>
          <w:highlight w:val="yellow"/>
        </w:rPr>
        <w:t xml:space="preserve">  </w:t>
      </w:r>
    </w:p>
    <w:p w14:paraId="070B6E50" w14:textId="2C9242DC" w:rsidR="003C3B34" w:rsidRDefault="002650D4" w:rsidP="003C3B34">
      <w:pPr>
        <w:tabs>
          <w:tab w:val="left" w:pos="820"/>
          <w:tab w:val="left" w:pos="821"/>
        </w:tabs>
        <w:spacing w:line="249" w:lineRule="auto"/>
        <w:ind w:left="100" w:right="266"/>
        <w:rPr>
          <w:b/>
          <w:sz w:val="24"/>
        </w:rPr>
      </w:pPr>
      <w:r>
        <w:rPr>
          <w:b/>
          <w:sz w:val="24"/>
        </w:rPr>
        <w:t xml:space="preserve">  </w:t>
      </w:r>
    </w:p>
    <w:p w14:paraId="589DCF81" w14:textId="2097CE06" w:rsidR="003C3B34" w:rsidRDefault="003C3B34" w:rsidP="003C3B34">
      <w:pPr>
        <w:tabs>
          <w:tab w:val="left" w:pos="820"/>
          <w:tab w:val="left" w:pos="821"/>
        </w:tabs>
        <w:spacing w:line="249" w:lineRule="auto"/>
        <w:ind w:left="100" w:right="266"/>
        <w:rPr>
          <w:b/>
          <w:sz w:val="24"/>
        </w:rPr>
      </w:pPr>
    </w:p>
    <w:p w14:paraId="454CBD2B" w14:textId="007024E3" w:rsidR="003C3B34" w:rsidRPr="003C3B34" w:rsidRDefault="003C3B34" w:rsidP="003C3B34">
      <w:pPr>
        <w:tabs>
          <w:tab w:val="left" w:pos="820"/>
          <w:tab w:val="left" w:pos="821"/>
        </w:tabs>
        <w:spacing w:line="249" w:lineRule="auto"/>
        <w:ind w:left="100" w:right="266"/>
        <w:rPr>
          <w:b/>
          <w:sz w:val="24"/>
        </w:rPr>
      </w:pPr>
      <w:r>
        <w:rPr>
          <w:b/>
          <w:sz w:val="24"/>
        </w:rPr>
        <w:t xml:space="preserve">          </w:t>
      </w:r>
    </w:p>
    <w:sectPr w:rsidR="003C3B34" w:rsidRPr="003C3B34">
      <w:type w:val="continuous"/>
      <w:pgSz w:w="12590" w:h="17520"/>
      <w:pgMar w:top="1040" w:right="10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A0655"/>
    <w:multiLevelType w:val="multilevel"/>
    <w:tmpl w:val="53FC6BC2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ascii="Arial" w:eastAsia="Arial" w:hAnsi="Arial" w:cs="Arial" w:hint="default"/>
        <w:b/>
        <w:bCs/>
        <w:color w:val="231F20"/>
        <w:w w:val="120"/>
        <w:sz w:val="24"/>
        <w:szCs w:val="24"/>
      </w:rPr>
    </w:lvl>
    <w:lvl w:ilvl="1">
      <w:numFmt w:val="bullet"/>
      <w:lvlText w:val="•"/>
      <w:lvlJc w:val="left"/>
      <w:pPr>
        <w:ind w:left="1768" w:hanging="720"/>
      </w:pPr>
      <w:rPr>
        <w:rFonts w:hint="default"/>
      </w:rPr>
    </w:lvl>
    <w:lvl w:ilvl="2">
      <w:numFmt w:val="bullet"/>
      <w:lvlText w:val="•"/>
      <w:lvlJc w:val="left"/>
      <w:pPr>
        <w:ind w:left="2717" w:hanging="720"/>
      </w:pPr>
      <w:rPr>
        <w:rFonts w:hint="default"/>
      </w:rPr>
    </w:lvl>
    <w:lvl w:ilvl="3">
      <w:numFmt w:val="bullet"/>
      <w:lvlText w:val="•"/>
      <w:lvlJc w:val="left"/>
      <w:pPr>
        <w:ind w:left="3665" w:hanging="720"/>
      </w:pPr>
      <w:rPr>
        <w:rFonts w:hint="default"/>
      </w:rPr>
    </w:lvl>
    <w:lvl w:ilvl="4">
      <w:numFmt w:val="bullet"/>
      <w:lvlText w:val="•"/>
      <w:lvlJc w:val="left"/>
      <w:pPr>
        <w:ind w:left="4614" w:hanging="720"/>
      </w:pPr>
      <w:rPr>
        <w:rFonts w:hint="default"/>
      </w:rPr>
    </w:lvl>
    <w:lvl w:ilvl="5">
      <w:numFmt w:val="bullet"/>
      <w:lvlText w:val="•"/>
      <w:lvlJc w:val="left"/>
      <w:pPr>
        <w:ind w:left="5562" w:hanging="720"/>
      </w:pPr>
      <w:rPr>
        <w:rFonts w:hint="default"/>
      </w:rPr>
    </w:lvl>
    <w:lvl w:ilvl="6">
      <w:numFmt w:val="bullet"/>
      <w:lvlText w:val="•"/>
      <w:lvlJc w:val="left"/>
      <w:pPr>
        <w:ind w:left="6511" w:hanging="720"/>
      </w:pPr>
      <w:rPr>
        <w:rFonts w:hint="default"/>
      </w:rPr>
    </w:lvl>
    <w:lvl w:ilvl="7">
      <w:numFmt w:val="bullet"/>
      <w:lvlText w:val="•"/>
      <w:lvlJc w:val="left"/>
      <w:pPr>
        <w:ind w:left="7460" w:hanging="720"/>
      </w:pPr>
      <w:rPr>
        <w:rFonts w:hint="default"/>
      </w:rPr>
    </w:lvl>
    <w:lvl w:ilvl="8">
      <w:numFmt w:val="bullet"/>
      <w:lvlText w:val="•"/>
      <w:lvlJc w:val="left"/>
      <w:pPr>
        <w:ind w:left="8408" w:hanging="720"/>
      </w:pPr>
      <w:rPr>
        <w:rFonts w:hint="default"/>
      </w:rPr>
    </w:lvl>
  </w:abstractNum>
  <w:abstractNum w:abstractNumId="1" w15:restartNumberingAfterBreak="0">
    <w:nsid w:val="55706044"/>
    <w:multiLevelType w:val="multilevel"/>
    <w:tmpl w:val="53FC6BC2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ascii="Arial" w:eastAsia="Arial" w:hAnsi="Arial" w:cs="Arial" w:hint="default"/>
        <w:b/>
        <w:bCs/>
        <w:color w:val="231F20"/>
        <w:w w:val="120"/>
        <w:sz w:val="24"/>
        <w:szCs w:val="24"/>
      </w:rPr>
    </w:lvl>
    <w:lvl w:ilvl="1">
      <w:numFmt w:val="bullet"/>
      <w:lvlText w:val="•"/>
      <w:lvlJc w:val="left"/>
      <w:pPr>
        <w:ind w:left="1768" w:hanging="720"/>
      </w:pPr>
      <w:rPr>
        <w:rFonts w:hint="default"/>
      </w:rPr>
    </w:lvl>
    <w:lvl w:ilvl="2">
      <w:numFmt w:val="bullet"/>
      <w:lvlText w:val="•"/>
      <w:lvlJc w:val="left"/>
      <w:pPr>
        <w:ind w:left="2717" w:hanging="720"/>
      </w:pPr>
      <w:rPr>
        <w:rFonts w:hint="default"/>
      </w:rPr>
    </w:lvl>
    <w:lvl w:ilvl="3">
      <w:numFmt w:val="bullet"/>
      <w:lvlText w:val="•"/>
      <w:lvlJc w:val="left"/>
      <w:pPr>
        <w:ind w:left="3665" w:hanging="720"/>
      </w:pPr>
      <w:rPr>
        <w:rFonts w:hint="default"/>
      </w:rPr>
    </w:lvl>
    <w:lvl w:ilvl="4">
      <w:numFmt w:val="bullet"/>
      <w:lvlText w:val="•"/>
      <w:lvlJc w:val="left"/>
      <w:pPr>
        <w:ind w:left="4614" w:hanging="720"/>
      </w:pPr>
      <w:rPr>
        <w:rFonts w:hint="default"/>
      </w:rPr>
    </w:lvl>
    <w:lvl w:ilvl="5">
      <w:numFmt w:val="bullet"/>
      <w:lvlText w:val="•"/>
      <w:lvlJc w:val="left"/>
      <w:pPr>
        <w:ind w:left="5562" w:hanging="720"/>
      </w:pPr>
      <w:rPr>
        <w:rFonts w:hint="default"/>
      </w:rPr>
    </w:lvl>
    <w:lvl w:ilvl="6">
      <w:numFmt w:val="bullet"/>
      <w:lvlText w:val="•"/>
      <w:lvlJc w:val="left"/>
      <w:pPr>
        <w:ind w:left="6511" w:hanging="720"/>
      </w:pPr>
      <w:rPr>
        <w:rFonts w:hint="default"/>
      </w:rPr>
    </w:lvl>
    <w:lvl w:ilvl="7">
      <w:numFmt w:val="bullet"/>
      <w:lvlText w:val="•"/>
      <w:lvlJc w:val="left"/>
      <w:pPr>
        <w:ind w:left="7460" w:hanging="720"/>
      </w:pPr>
      <w:rPr>
        <w:rFonts w:hint="default"/>
      </w:rPr>
    </w:lvl>
    <w:lvl w:ilvl="8">
      <w:numFmt w:val="bullet"/>
      <w:lvlText w:val="•"/>
      <w:lvlJc w:val="left"/>
      <w:pPr>
        <w:ind w:left="8408" w:hanging="720"/>
      </w:pPr>
      <w:rPr>
        <w:rFonts w:hint="default"/>
      </w:rPr>
    </w:lvl>
  </w:abstractNum>
  <w:abstractNum w:abstractNumId="2" w15:restartNumberingAfterBreak="0">
    <w:nsid w:val="5CE16E52"/>
    <w:multiLevelType w:val="multilevel"/>
    <w:tmpl w:val="53FC6BC2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ascii="Arial" w:eastAsia="Arial" w:hAnsi="Arial" w:cs="Arial" w:hint="default"/>
        <w:b/>
        <w:bCs/>
        <w:color w:val="231F20"/>
        <w:w w:val="120"/>
        <w:sz w:val="24"/>
        <w:szCs w:val="24"/>
      </w:rPr>
    </w:lvl>
    <w:lvl w:ilvl="1">
      <w:numFmt w:val="bullet"/>
      <w:lvlText w:val="•"/>
      <w:lvlJc w:val="left"/>
      <w:pPr>
        <w:ind w:left="1768" w:hanging="720"/>
      </w:pPr>
      <w:rPr>
        <w:rFonts w:hint="default"/>
      </w:rPr>
    </w:lvl>
    <w:lvl w:ilvl="2">
      <w:numFmt w:val="bullet"/>
      <w:lvlText w:val="•"/>
      <w:lvlJc w:val="left"/>
      <w:pPr>
        <w:ind w:left="2717" w:hanging="720"/>
      </w:pPr>
      <w:rPr>
        <w:rFonts w:hint="default"/>
      </w:rPr>
    </w:lvl>
    <w:lvl w:ilvl="3">
      <w:numFmt w:val="bullet"/>
      <w:lvlText w:val="•"/>
      <w:lvlJc w:val="left"/>
      <w:pPr>
        <w:ind w:left="3665" w:hanging="720"/>
      </w:pPr>
      <w:rPr>
        <w:rFonts w:hint="default"/>
      </w:rPr>
    </w:lvl>
    <w:lvl w:ilvl="4">
      <w:numFmt w:val="bullet"/>
      <w:lvlText w:val="•"/>
      <w:lvlJc w:val="left"/>
      <w:pPr>
        <w:ind w:left="4614" w:hanging="720"/>
      </w:pPr>
      <w:rPr>
        <w:rFonts w:hint="default"/>
      </w:rPr>
    </w:lvl>
    <w:lvl w:ilvl="5">
      <w:numFmt w:val="bullet"/>
      <w:lvlText w:val="•"/>
      <w:lvlJc w:val="left"/>
      <w:pPr>
        <w:ind w:left="5562" w:hanging="720"/>
      </w:pPr>
      <w:rPr>
        <w:rFonts w:hint="default"/>
      </w:rPr>
    </w:lvl>
    <w:lvl w:ilvl="6">
      <w:numFmt w:val="bullet"/>
      <w:lvlText w:val="•"/>
      <w:lvlJc w:val="left"/>
      <w:pPr>
        <w:ind w:left="6511" w:hanging="720"/>
      </w:pPr>
      <w:rPr>
        <w:rFonts w:hint="default"/>
      </w:rPr>
    </w:lvl>
    <w:lvl w:ilvl="7">
      <w:numFmt w:val="bullet"/>
      <w:lvlText w:val="•"/>
      <w:lvlJc w:val="left"/>
      <w:pPr>
        <w:ind w:left="7460" w:hanging="720"/>
      </w:pPr>
      <w:rPr>
        <w:rFonts w:hint="default"/>
      </w:rPr>
    </w:lvl>
    <w:lvl w:ilvl="8">
      <w:numFmt w:val="bullet"/>
      <w:lvlText w:val="•"/>
      <w:lvlJc w:val="left"/>
      <w:pPr>
        <w:ind w:left="8408" w:hanging="720"/>
      </w:pPr>
      <w:rPr>
        <w:rFonts w:hint="default"/>
      </w:rPr>
    </w:lvl>
  </w:abstractNum>
  <w:abstractNum w:abstractNumId="3" w15:restartNumberingAfterBreak="0">
    <w:nsid w:val="670271C4"/>
    <w:multiLevelType w:val="hybridMultilevel"/>
    <w:tmpl w:val="53FC6BC2"/>
    <w:lvl w:ilvl="0" w:tplc="4F9C95F8">
      <w:start w:val="1"/>
      <w:numFmt w:val="decimal"/>
      <w:lvlText w:val="%1"/>
      <w:lvlJc w:val="left"/>
      <w:pPr>
        <w:ind w:left="820" w:hanging="720"/>
        <w:jc w:val="left"/>
      </w:pPr>
      <w:rPr>
        <w:rFonts w:ascii="Arial" w:eastAsia="Arial" w:hAnsi="Arial" w:cs="Arial" w:hint="default"/>
        <w:b/>
        <w:bCs/>
        <w:color w:val="231F20"/>
        <w:w w:val="120"/>
        <w:sz w:val="24"/>
        <w:szCs w:val="24"/>
      </w:rPr>
    </w:lvl>
    <w:lvl w:ilvl="1" w:tplc="F616348E">
      <w:numFmt w:val="bullet"/>
      <w:lvlText w:val="•"/>
      <w:lvlJc w:val="left"/>
      <w:pPr>
        <w:ind w:left="1768" w:hanging="720"/>
      </w:pPr>
      <w:rPr>
        <w:rFonts w:hint="default"/>
      </w:rPr>
    </w:lvl>
    <w:lvl w:ilvl="2" w:tplc="9AE8400C">
      <w:numFmt w:val="bullet"/>
      <w:lvlText w:val="•"/>
      <w:lvlJc w:val="left"/>
      <w:pPr>
        <w:ind w:left="2717" w:hanging="720"/>
      </w:pPr>
      <w:rPr>
        <w:rFonts w:hint="default"/>
      </w:rPr>
    </w:lvl>
    <w:lvl w:ilvl="3" w:tplc="6BF86EC6">
      <w:numFmt w:val="bullet"/>
      <w:lvlText w:val="•"/>
      <w:lvlJc w:val="left"/>
      <w:pPr>
        <w:ind w:left="3665" w:hanging="720"/>
      </w:pPr>
      <w:rPr>
        <w:rFonts w:hint="default"/>
      </w:rPr>
    </w:lvl>
    <w:lvl w:ilvl="4" w:tplc="2AD6C842">
      <w:numFmt w:val="bullet"/>
      <w:lvlText w:val="•"/>
      <w:lvlJc w:val="left"/>
      <w:pPr>
        <w:ind w:left="4614" w:hanging="720"/>
      </w:pPr>
      <w:rPr>
        <w:rFonts w:hint="default"/>
      </w:rPr>
    </w:lvl>
    <w:lvl w:ilvl="5" w:tplc="05EEC394">
      <w:numFmt w:val="bullet"/>
      <w:lvlText w:val="•"/>
      <w:lvlJc w:val="left"/>
      <w:pPr>
        <w:ind w:left="5562" w:hanging="720"/>
      </w:pPr>
      <w:rPr>
        <w:rFonts w:hint="default"/>
      </w:rPr>
    </w:lvl>
    <w:lvl w:ilvl="6" w:tplc="9604B0AE">
      <w:numFmt w:val="bullet"/>
      <w:lvlText w:val="•"/>
      <w:lvlJc w:val="left"/>
      <w:pPr>
        <w:ind w:left="6511" w:hanging="720"/>
      </w:pPr>
      <w:rPr>
        <w:rFonts w:hint="default"/>
      </w:rPr>
    </w:lvl>
    <w:lvl w:ilvl="7" w:tplc="9BEC401E">
      <w:numFmt w:val="bullet"/>
      <w:lvlText w:val="•"/>
      <w:lvlJc w:val="left"/>
      <w:pPr>
        <w:ind w:left="7460" w:hanging="720"/>
      </w:pPr>
      <w:rPr>
        <w:rFonts w:hint="default"/>
      </w:rPr>
    </w:lvl>
    <w:lvl w:ilvl="8" w:tplc="383E0F90">
      <w:numFmt w:val="bullet"/>
      <w:lvlText w:val="•"/>
      <w:lvlJc w:val="left"/>
      <w:pPr>
        <w:ind w:left="8408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E1"/>
    <w:rsid w:val="002650D4"/>
    <w:rsid w:val="003C3B34"/>
    <w:rsid w:val="00532D89"/>
    <w:rsid w:val="005D3D05"/>
    <w:rsid w:val="00637B85"/>
    <w:rsid w:val="00870C06"/>
    <w:rsid w:val="008766E1"/>
    <w:rsid w:val="00976C83"/>
    <w:rsid w:val="00A35A96"/>
    <w:rsid w:val="00D8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53BD"/>
  <w15:docId w15:val="{BA733D5B-7B3C-294C-9A74-A94E6CD4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0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76C83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Lorin Watt</cp:lastModifiedBy>
  <cp:revision>3</cp:revision>
  <cp:lastPrinted>2021-10-15T15:07:00Z</cp:lastPrinted>
  <dcterms:created xsi:type="dcterms:W3CDTF">2021-10-20T09:26:00Z</dcterms:created>
  <dcterms:modified xsi:type="dcterms:W3CDTF">2021-10-20T09:26:00Z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2011-08-14T00:00:00Z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2020-02-04T00:00:00Z</vt:filetime>
  </property>
</Properties>
</file>